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Минобрнауки РФ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ФГБОУ ВПО «Удмуртский государственный университет»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Институт экономики и управления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Кафедра экономики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bookmarkStart w:id="0" w:name="_GoBack"/>
      <w:bookmarkEnd w:id="0"/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Курсовая работа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по дисциплине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«Организация инновационной и инвестиционной деятельности на предприятии»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на тему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>«Оценка эффективности производственного коммерческого инвестиционного проекта»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 xml:space="preserve">Выполнила: студентка гр. 080112-31                            </w:t>
      </w:r>
      <w:r w:rsidR="00EC63F5">
        <w:rPr>
          <w:rFonts w:eastAsia="Times New Roman" w:cs="Times New Roman"/>
          <w:szCs w:val="28"/>
        </w:rPr>
        <w:t xml:space="preserve">                 </w:t>
      </w:r>
      <w:r w:rsidRPr="000C1361">
        <w:rPr>
          <w:rFonts w:eastAsia="Times New Roman" w:cs="Times New Roman"/>
          <w:szCs w:val="28"/>
        </w:rPr>
        <w:t xml:space="preserve">   </w:t>
      </w:r>
      <w:r w:rsidR="00EC63F5">
        <w:rPr>
          <w:rFonts w:eastAsia="Times New Roman" w:cs="Times New Roman"/>
          <w:szCs w:val="28"/>
        </w:rPr>
        <w:t>Д.С.Боталова</w:t>
      </w:r>
    </w:p>
    <w:p w:rsidR="004506D4" w:rsidRPr="000C1361" w:rsidRDefault="00EC63F5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rPr>
          <w:rFonts w:eastAsia="Times New Roman" w:cs="Times New Roman"/>
          <w:szCs w:val="28"/>
        </w:rPr>
      </w:pPr>
      <w:r w:rsidRPr="000C1361">
        <w:rPr>
          <w:rFonts w:eastAsia="Times New Roman" w:cs="Times New Roman"/>
          <w:szCs w:val="28"/>
        </w:rPr>
        <w:t xml:space="preserve">Руководитель: </w:t>
      </w:r>
      <w:r>
        <w:rPr>
          <w:rFonts w:eastAsia="Times New Roman" w:cs="Times New Roman"/>
          <w:szCs w:val="28"/>
        </w:rPr>
        <w:t>доцент</w:t>
      </w:r>
      <w:r w:rsidR="00EC63F5">
        <w:rPr>
          <w:rFonts w:eastAsia="Times New Roman" w:cs="Times New Roman"/>
          <w:szCs w:val="28"/>
        </w:rPr>
        <w:t>, к.э.н.</w:t>
      </w:r>
      <w:r w:rsidRPr="000C1361">
        <w:rPr>
          <w:rFonts w:eastAsia="Times New Roman" w:cs="Times New Roman"/>
          <w:szCs w:val="28"/>
        </w:rPr>
        <w:t xml:space="preserve">     </w:t>
      </w:r>
      <w:r w:rsidR="00EC63F5">
        <w:rPr>
          <w:rFonts w:eastAsia="Times New Roman" w:cs="Times New Roman"/>
          <w:szCs w:val="28"/>
        </w:rPr>
        <w:t xml:space="preserve">                                                           </w:t>
      </w:r>
      <w:r w:rsidRPr="000C1361">
        <w:rPr>
          <w:rFonts w:eastAsia="Times New Roman" w:cs="Times New Roman"/>
          <w:szCs w:val="28"/>
        </w:rPr>
        <w:t>В.А. Иванов</w:t>
      </w: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Pr="000C1361" w:rsidRDefault="004506D4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</w:p>
    <w:p w:rsidR="004506D4" w:rsidRDefault="00EC63F5" w:rsidP="004506D4">
      <w:pPr>
        <w:widowControl w:val="0"/>
        <w:shd w:val="clear" w:color="auto" w:fill="FFFFFF"/>
        <w:tabs>
          <w:tab w:val="left" w:leader="underscore" w:pos="7416"/>
          <w:tab w:val="left" w:leader="underscore" w:pos="12725"/>
        </w:tabs>
        <w:autoSpaceDE w:val="0"/>
        <w:autoSpaceDN w:val="0"/>
        <w:adjustRightInd w:val="0"/>
        <w:ind w:firstLine="3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Ижевск 2015</w:t>
      </w:r>
    </w:p>
    <w:sdt>
      <w:sdtPr>
        <w:rPr>
          <w:rFonts w:ascii="Times New Roman" w:eastAsiaTheme="minorEastAsia" w:hAnsi="Times New Roman" w:cstheme="minorBidi"/>
          <w:b w:val="0"/>
          <w:bCs w:val="0"/>
          <w:color w:val="auto"/>
          <w:szCs w:val="22"/>
          <w:lang w:eastAsia="ru-RU"/>
        </w:rPr>
        <w:id w:val="56477996"/>
        <w:docPartObj>
          <w:docPartGallery w:val="Table of Contents"/>
          <w:docPartUnique/>
        </w:docPartObj>
      </w:sdtPr>
      <w:sdtContent>
        <w:p w:rsidR="003C4C66" w:rsidRDefault="003C4C66" w:rsidP="003C4C66">
          <w:pPr>
            <w:pStyle w:val="a3"/>
            <w:jc w:val="center"/>
          </w:pPr>
          <w:r>
            <w:t>Оглавление</w:t>
          </w:r>
        </w:p>
        <w:p w:rsidR="003C4C66" w:rsidRDefault="003C4C66" w:rsidP="003C4C66">
          <w:pPr>
            <w:pStyle w:val="11"/>
            <w:tabs>
              <w:tab w:val="right" w:leader="dot" w:pos="9345"/>
            </w:tabs>
            <w:jc w:val="center"/>
          </w:pPr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3C4C66">
            <w:instrText xml:space="preserve"> TOC \o "1-3" \h \z \u </w:instrText>
          </w:r>
          <w:r>
            <w:fldChar w:fldCharType="separate"/>
          </w:r>
          <w:hyperlink w:anchor="_Toc419916624" w:history="1">
            <w:r w:rsidR="006E16A6" w:rsidRPr="00953D29">
              <w:rPr>
                <w:rStyle w:val="a6"/>
                <w:rFonts w:ascii="Cambria" w:eastAsia="Times New Roman" w:hAnsi="Cambria" w:cs="Times New Roman"/>
                <w:noProof/>
              </w:rPr>
              <w:t>Введение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25" w:history="1">
            <w:r w:rsidR="006E16A6" w:rsidRPr="00953D29">
              <w:rPr>
                <w:rStyle w:val="a6"/>
                <w:noProof/>
              </w:rPr>
              <w:t>1. Сущность проекта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26" w:history="1">
            <w:r w:rsidR="006E16A6" w:rsidRPr="00953D29">
              <w:rPr>
                <w:rStyle w:val="a6"/>
                <w:noProof/>
              </w:rPr>
              <w:t>2. Маркетинговый план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27" w:history="1">
            <w:r w:rsidR="006E16A6" w:rsidRPr="00953D29">
              <w:rPr>
                <w:rStyle w:val="a6"/>
                <w:noProof/>
              </w:rPr>
              <w:t>3. Инвестиционный план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28" w:history="1">
            <w:r w:rsidR="006E16A6" w:rsidRPr="00953D29">
              <w:rPr>
                <w:rStyle w:val="a6"/>
                <w:noProof/>
              </w:rPr>
              <w:t>4. Производственный план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29" w:history="1">
            <w:r w:rsidR="006E16A6" w:rsidRPr="00953D29">
              <w:rPr>
                <w:rStyle w:val="a6"/>
                <w:noProof/>
              </w:rPr>
              <w:t xml:space="preserve">5. </w:t>
            </w:r>
            <w:r w:rsidR="006E16A6" w:rsidRPr="00953D29">
              <w:rPr>
                <w:rStyle w:val="a6"/>
                <w:rFonts w:ascii="Cambria" w:eastAsia="Times New Roman" w:hAnsi="Cambria" w:cs="Times New Roman"/>
                <w:noProof/>
              </w:rPr>
              <w:t xml:space="preserve">Финансовый </w:t>
            </w:r>
            <w:r w:rsidR="006E16A6" w:rsidRPr="00953D29">
              <w:rPr>
                <w:rStyle w:val="a6"/>
                <w:noProof/>
              </w:rPr>
              <w:t>план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16A6" w:rsidRDefault="00135A88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419916630" w:history="1">
            <w:r w:rsidR="006E16A6" w:rsidRPr="00953D29">
              <w:rPr>
                <w:rStyle w:val="a6"/>
                <w:noProof/>
              </w:rPr>
              <w:t>Заключение</w:t>
            </w:r>
            <w:r w:rsidR="006E16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16A6">
              <w:rPr>
                <w:noProof/>
                <w:webHidden/>
              </w:rPr>
              <w:instrText xml:space="preserve"> PAGEREF _Toc419916630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67CA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C4C66" w:rsidRDefault="00135A88" w:rsidP="003C4C66">
          <w:pPr>
            <w:jc w:val="center"/>
          </w:pPr>
          <w:r>
            <w:fldChar w:fldCharType="end"/>
          </w:r>
        </w:p>
      </w:sdtContent>
    </w:sdt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rPr>
          <w:szCs w:val="28"/>
        </w:rPr>
      </w:pPr>
    </w:p>
    <w:p w:rsidR="00EC63F5" w:rsidRDefault="00EC63F5" w:rsidP="00EC63F5">
      <w:pPr>
        <w:pStyle w:val="1"/>
        <w:jc w:val="center"/>
      </w:pPr>
      <w:bookmarkStart w:id="1" w:name="_Toc419916624"/>
      <w:r w:rsidRPr="00EC63F5">
        <w:rPr>
          <w:rFonts w:ascii="Cambria" w:eastAsia="Times New Roman" w:hAnsi="Cambria" w:cs="Times New Roman"/>
          <w:color w:val="365F91"/>
        </w:rPr>
        <w:lastRenderedPageBreak/>
        <w:t>Введение</w:t>
      </w:r>
      <w:bookmarkEnd w:id="1"/>
    </w:p>
    <w:p w:rsidR="00B76606" w:rsidRDefault="00B76606" w:rsidP="00B76606"/>
    <w:p w:rsidR="00B76606" w:rsidRDefault="00B76606" w:rsidP="00B76606">
      <w:r>
        <w:t>Научно-производственная фирма «ABC» (НПФ «</w:t>
      </w:r>
      <w:r>
        <w:rPr>
          <w:lang w:val="en-US"/>
        </w:rPr>
        <w:t>ABC</w:t>
      </w:r>
      <w:r>
        <w:t xml:space="preserve">») основана в 1994. Тип организации: Общество с ограниченной ответственностью. Компания зарегистрирована в Тукаевском районе Республики Татарстан. </w:t>
      </w:r>
    </w:p>
    <w:p w:rsidR="00AD237F" w:rsidRDefault="00AD237F" w:rsidP="00AD237F">
      <w:r>
        <w:t xml:space="preserve">Данная фирма разработала </w:t>
      </w:r>
      <w:r w:rsidRPr="00B76606">
        <w:t>бизнес – план</w:t>
      </w:r>
      <w:r>
        <w:t xml:space="preserve"> </w:t>
      </w:r>
      <w:r w:rsidRPr="00B76606">
        <w:t xml:space="preserve">инвестиционного проекта </w:t>
      </w:r>
      <w:r>
        <w:t xml:space="preserve"> по организации</w:t>
      </w:r>
      <w:r w:rsidRPr="00B76606">
        <w:t xml:space="preserve"> производства стеклянной тары</w:t>
      </w:r>
      <w:r w:rsidR="006C5D76">
        <w:t xml:space="preserve">. </w:t>
      </w:r>
      <w:r w:rsidR="006C5D76" w:rsidRPr="006C5D76">
        <w:t>Проектируемое производство относится к стекольной промышленности, производящей плоское и тарное стекло, посуду, источники света, электронно-лучевые трубки и т.д.</w:t>
      </w:r>
    </w:p>
    <w:p w:rsidR="00AD237F" w:rsidRDefault="006C5D76" w:rsidP="00B76606">
      <w:r>
        <w:t>На протяжении последних 5 лет в отрасли наблюдается активизация инвестиционной деятельности с широким участием иностранного капитала. Восемь предприятий осуществляют крупные инвестиционные проекты по модернизации производства стеклотары и строительству новых мощностей.</w:t>
      </w:r>
    </w:p>
    <w:p w:rsidR="003C3C64" w:rsidRPr="003C3C64" w:rsidRDefault="003C3C64" w:rsidP="003C3C64">
      <w:r>
        <w:t>Занимая выгодное географическое положение вблизи своих основных потребителей, проектируемый стекольный завод будет способен полностью удовлетворить спрос местной ликеро-водочной, пищевой и перерабатывающей промышленности на стеклянную тару. Кроме того за пределы республики ежегодно планируется поставлять 5 млн. оригинальных бутылок и 9 млн. банок на сумму около 40 млн. рублей (16 % объема реализации).</w:t>
      </w:r>
    </w:p>
    <w:p w:rsidR="00B76606" w:rsidRPr="00A55DFC" w:rsidRDefault="00B76606" w:rsidP="00B76606">
      <w:r>
        <w:t xml:space="preserve">Цель </w:t>
      </w:r>
      <w:r w:rsidR="00AD237F">
        <w:t xml:space="preserve">данного </w:t>
      </w:r>
      <w:r>
        <w:t>проекта: создание современного производства высококачественной стеклянной тары широкого ассортимента для удовлетворения потребностей ликероводочной, пищевой и перерабатывающей промышленности.</w:t>
      </w:r>
    </w:p>
    <w:p w:rsidR="00A55DFC" w:rsidRPr="00A55DFC" w:rsidRDefault="00A55DFC" w:rsidP="00A55DFC">
      <w:r>
        <w:t>Актуальность темы вызвана тем, что в</w:t>
      </w:r>
      <w:r w:rsidRPr="00A55DFC">
        <w:t xml:space="preserve">ысокая конкуренция на рынке спиртных напитков диктует производителям необходимость использования индивидуализированной стеклотары, способной, помимо прямого назначения, выполнять рекламные функции и обеспечивать защиту от подделок. </w:t>
      </w:r>
    </w:p>
    <w:p w:rsidR="00A55DFC" w:rsidRDefault="00A55DFC" w:rsidP="00A55DFC">
      <w:r>
        <w:t>В настоящее время, с</w:t>
      </w:r>
      <w:r w:rsidRPr="00A55DFC">
        <w:t>теклянные банки с закручивающейся крышкой «твист–офф», технологичные и удобные для потребителей, находят все более широкое применение в отечественной перерабатывающей и пищевой промышленности (консервы, пресервы, соусы, кофе, мед и т.п.).</w:t>
      </w:r>
    </w:p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Default="00553ACE" w:rsidP="00A55DFC"/>
    <w:p w:rsidR="00553ACE" w:rsidRPr="00A55DFC" w:rsidRDefault="00553ACE" w:rsidP="00A55DFC"/>
    <w:p w:rsidR="00EC63F5" w:rsidRDefault="00EC63F5" w:rsidP="00EC63F5">
      <w:pPr>
        <w:jc w:val="center"/>
      </w:pPr>
    </w:p>
    <w:p w:rsidR="003C3C64" w:rsidRDefault="003C3C64" w:rsidP="003C3C64">
      <w:pPr>
        <w:pStyle w:val="1"/>
        <w:jc w:val="center"/>
      </w:pPr>
      <w:bookmarkStart w:id="2" w:name="_Toc419916625"/>
      <w:r>
        <w:lastRenderedPageBreak/>
        <w:t>1. Сущность проекта</w:t>
      </w:r>
      <w:bookmarkEnd w:id="2"/>
    </w:p>
    <w:p w:rsidR="003C3C64" w:rsidRPr="00AD237F" w:rsidRDefault="003C3C64" w:rsidP="003C3C64"/>
    <w:p w:rsidR="003C3C64" w:rsidRDefault="003C3C64" w:rsidP="003C3C64">
      <w:r>
        <w:t>У НПФ «</w:t>
      </w:r>
      <w:r>
        <w:rPr>
          <w:lang w:val="en-US"/>
        </w:rPr>
        <w:t>ABC</w:t>
      </w:r>
      <w:r>
        <w:t xml:space="preserve">» есть </w:t>
      </w:r>
      <w:r w:rsidRPr="00A55DFC">
        <w:t>возможность изготовления стеклянной тары под заказ и в небольших количествах</w:t>
      </w:r>
      <w:r>
        <w:t>, что</w:t>
      </w:r>
      <w:r w:rsidRPr="00A55DFC">
        <w:t xml:space="preserve"> высоко ценится производителями элитной л</w:t>
      </w:r>
      <w:r>
        <w:t>икеро-водочной продукции и выделяет её среди конкурентов.</w:t>
      </w:r>
    </w:p>
    <w:p w:rsidR="003C3C64" w:rsidRPr="00AD237F" w:rsidRDefault="003C3C64" w:rsidP="003C3C64">
      <w:r w:rsidRPr="00A5529A">
        <w:t>Конкурентоспособность проекта обеспечивается сочетанием комплекса параметров, главные из которых –  современная технология, продуманная маркетинговая политика и поддержка республиканских властей.</w:t>
      </w:r>
    </w:p>
    <w:p w:rsidR="003C3C64" w:rsidRDefault="003C3C64" w:rsidP="003C3C64">
      <w:r>
        <w:t>Для того, чтобы производство стеклянной тары было удачным, необходимо, чтобы продукция отвечала определенным требованиям.</w:t>
      </w:r>
    </w:p>
    <w:p w:rsidR="003C3C64" w:rsidRPr="00AD237F" w:rsidRDefault="003C3C64" w:rsidP="003C3C64">
      <w:r>
        <w:t xml:space="preserve"> </w:t>
      </w:r>
      <w:r w:rsidRPr="00AD237F">
        <w:t>Характеристика продукции: бесцветные, высокой прозрачности бутылки ординарного и оригинального исполнения, банки "твист-офф" емкостью от 0,25 до 1 литра.</w:t>
      </w:r>
    </w:p>
    <w:p w:rsidR="003C3C64" w:rsidRPr="00AD237F" w:rsidRDefault="003C3C64" w:rsidP="003C3C64">
      <w:r w:rsidRPr="00AD237F">
        <w:t xml:space="preserve">Потенциал развития: </w:t>
      </w:r>
    </w:p>
    <w:p w:rsidR="003C3C64" w:rsidRPr="00AD237F" w:rsidRDefault="003C3C64" w:rsidP="003C3C64">
      <w:pPr>
        <w:pStyle w:val="a9"/>
        <w:numPr>
          <w:ilvl w:val="0"/>
          <w:numId w:val="16"/>
        </w:numPr>
      </w:pPr>
      <w:r w:rsidRPr="00AD237F">
        <w:t>изготовление стеклотары различной  цветовой гаммы;</w:t>
      </w:r>
    </w:p>
    <w:p w:rsidR="00553ACE" w:rsidRPr="00AD237F" w:rsidRDefault="003C3C64" w:rsidP="003C3C64">
      <w:pPr>
        <w:pStyle w:val="a9"/>
        <w:numPr>
          <w:ilvl w:val="0"/>
          <w:numId w:val="16"/>
        </w:numPr>
      </w:pPr>
      <w:r w:rsidRPr="00AD237F">
        <w:t>освоение технологий декорирования (матирование, многоцветная шелкография, сатинирование, sleeve</w:t>
      </w:r>
      <w:r w:rsidR="00553ACE" w:rsidRPr="00AD237F">
        <w:t>-технология)</w:t>
      </w:r>
    </w:p>
    <w:p w:rsidR="00553ACE" w:rsidRPr="00AD237F" w:rsidRDefault="00553ACE" w:rsidP="00553ACE">
      <w:r>
        <w:t>Предполагаемы р</w:t>
      </w:r>
      <w:r w:rsidRPr="00AD237F">
        <w:t>ынки сбыта: Татарстан, Поволжский и Уральский регионы, страны СНГ.</w:t>
      </w:r>
    </w:p>
    <w:p w:rsidR="00553ACE" w:rsidRPr="00AD237F" w:rsidRDefault="00553ACE" w:rsidP="00553ACE">
      <w:r w:rsidRPr="00AD237F">
        <w:t xml:space="preserve">Основные параметры: </w:t>
      </w:r>
    </w:p>
    <w:p w:rsidR="00553ACE" w:rsidRDefault="00553ACE" w:rsidP="00553ACE">
      <w:pPr>
        <w:pStyle w:val="a9"/>
        <w:numPr>
          <w:ilvl w:val="0"/>
          <w:numId w:val="13"/>
        </w:numPr>
        <w:ind w:left="0" w:firstLine="425"/>
      </w:pPr>
      <w:r w:rsidRPr="00AD237F">
        <w:t>Планируемые объемы выпуска: ординарная бутылка 55 млн. шт. в год (в 0,5 л. исчислении), оригинальная бутылка 20 млн. шт., банки 20 млн. шт. (в 0,25 л. исчислении).</w:t>
      </w:r>
      <w:r w:rsidRPr="006C5D76">
        <w:t xml:space="preserve"> </w:t>
      </w:r>
    </w:p>
    <w:p w:rsidR="00553ACE" w:rsidRPr="00AD237F" w:rsidRDefault="00553ACE" w:rsidP="00553ACE">
      <w:pPr>
        <w:pStyle w:val="a9"/>
        <w:numPr>
          <w:ilvl w:val="0"/>
          <w:numId w:val="11"/>
        </w:numPr>
        <w:ind w:left="0" w:firstLine="284"/>
      </w:pPr>
      <w:r w:rsidRPr="00AD237F">
        <w:t>Технический уровень оборудования и организация производства соответствуют требованиям международных стандартов системы качества ISO-9000 и экологической безопасности ISO-14000.</w:t>
      </w:r>
    </w:p>
    <w:p w:rsidR="00553ACE" w:rsidRPr="00AD237F" w:rsidRDefault="00553ACE" w:rsidP="00553ACE">
      <w:pPr>
        <w:pStyle w:val="a9"/>
        <w:numPr>
          <w:ilvl w:val="0"/>
          <w:numId w:val="11"/>
        </w:numPr>
        <w:ind w:left="0" w:firstLine="284"/>
      </w:pPr>
      <w:r w:rsidRPr="00AD237F">
        <w:t xml:space="preserve">Предприятие планируется разместить в районе Базы строительной индустрии г. Набережные Челны. Промплощадка (3 га) обеспечена всеми необходимыми транспортными и энергетическими коммуникациями, производственный корпус имеет высокую степень строительной готовности. </w:t>
      </w:r>
    </w:p>
    <w:p w:rsidR="00553ACE" w:rsidRPr="00AD237F" w:rsidRDefault="00553ACE" w:rsidP="00553ACE">
      <w:pPr>
        <w:pStyle w:val="a9"/>
        <w:numPr>
          <w:ilvl w:val="0"/>
          <w:numId w:val="11"/>
        </w:numPr>
        <w:ind w:left="0" w:firstLine="284"/>
      </w:pPr>
      <w:r w:rsidRPr="00AD237F">
        <w:t>Для реализации проекта необходимо осуществить реконструкцию корпуса, строительство составного отделения, АБК и механического цеха, монтаж стекловаренной печи производительностью 140 тонн в сутки, произвести закупку и монтаж отечественного и импортного технологического и вспомогательного оборудования.</w:t>
      </w:r>
    </w:p>
    <w:p w:rsidR="00553ACE" w:rsidRPr="00AD237F" w:rsidRDefault="00553ACE" w:rsidP="00553ACE">
      <w:pPr>
        <w:pStyle w:val="a9"/>
        <w:numPr>
          <w:ilvl w:val="0"/>
          <w:numId w:val="11"/>
        </w:numPr>
        <w:ind w:left="0" w:firstLine="284"/>
      </w:pPr>
      <w:r w:rsidRPr="00AD237F">
        <w:t>Инвестиционная фаза проекта 2 года, в т.ч. строительно-монтажные работы 1,5 года, пуско-наладка и выход на проектную мощность 0,5 года.</w:t>
      </w:r>
    </w:p>
    <w:p w:rsidR="00553ACE" w:rsidRDefault="00553ACE" w:rsidP="00553ACE">
      <w:pPr>
        <w:pStyle w:val="a9"/>
        <w:numPr>
          <w:ilvl w:val="0"/>
          <w:numId w:val="11"/>
        </w:numPr>
        <w:ind w:left="0" w:firstLine="284"/>
      </w:pPr>
      <w:r w:rsidRPr="00AD237F">
        <w:t>Хозяйственные, инвестиционные и финансовые показатели проекта находятся на уровне лучших предприятий стекольной промышленности.</w:t>
      </w:r>
    </w:p>
    <w:p w:rsidR="00A55DFC" w:rsidRPr="00553ACE" w:rsidRDefault="00553ACE" w:rsidP="00553ACE">
      <w:r w:rsidRPr="00553ACE">
        <w:t xml:space="preserve">Применение современных технологий позволит выпускать стеклотару со сниженной на 30 % массой при одновременном увеличении её прочностных  </w:t>
      </w:r>
      <w:r w:rsidR="00A55DFC" w:rsidRPr="00553ACE">
        <w:t>свойств.</w:t>
      </w:r>
    </w:p>
    <w:p w:rsidR="00EC63F5" w:rsidRPr="00A55DFC" w:rsidRDefault="00EC63F5" w:rsidP="00A55DFC"/>
    <w:p w:rsidR="00EC63F5" w:rsidRPr="00A55DFC" w:rsidRDefault="00EC63F5" w:rsidP="00A55DFC"/>
    <w:p w:rsidR="00EC63F5" w:rsidRDefault="00EC63F5" w:rsidP="00AF67CA">
      <w:pPr>
        <w:pStyle w:val="1"/>
        <w:tabs>
          <w:tab w:val="center" w:pos="4961"/>
          <w:tab w:val="right" w:pos="9355"/>
        </w:tabs>
        <w:jc w:val="center"/>
      </w:pPr>
      <w:bookmarkStart w:id="3" w:name="_Toc419916626"/>
      <w:r>
        <w:lastRenderedPageBreak/>
        <w:t>2. Маркетинговый план</w:t>
      </w:r>
      <w:bookmarkEnd w:id="3"/>
    </w:p>
    <w:p w:rsidR="00EC63F5" w:rsidRDefault="00EC63F5" w:rsidP="00EC63F5">
      <w:pPr>
        <w:jc w:val="center"/>
      </w:pPr>
    </w:p>
    <w:p w:rsidR="00A55DFC" w:rsidRPr="003C3C64" w:rsidRDefault="00A55DFC" w:rsidP="003C3C64">
      <w:r w:rsidRPr="003C3C64">
        <w:t>Планируемые объемы выпуска: ординарная бутылка 55 млн. шт. в год (в 0,5 л. исчислении), оригинальная бутылка 20 млн. шт., банки 20 млн. шт. (в 0,25 л. исчислении).</w:t>
      </w:r>
    </w:p>
    <w:p w:rsidR="003C3C64" w:rsidRPr="003C3C64" w:rsidRDefault="003C3C64" w:rsidP="003C3C64">
      <w:r w:rsidRPr="003C3C64">
        <w:t>План производства и продаж рассчитан исходя из спрогнозированного спроса на продукцию и с учетом технологических возможностей создаваемого предприятия.</w:t>
      </w:r>
    </w:p>
    <w:p w:rsidR="003C3C64" w:rsidRPr="003C3C64" w:rsidRDefault="003C3C64" w:rsidP="003C3C64">
      <w:r w:rsidRPr="003C3C64">
        <w:t xml:space="preserve">Учитывая необходимость комплексной отладки всей технологической цепочки, а так же логистики и каналов дистрибьюции, бизнес–планом предусматривается, что в первом полугодии работы завода уровень производства и продаж составит 30 % от проектных показателей. </w:t>
      </w:r>
    </w:p>
    <w:p w:rsidR="003C3C64" w:rsidRDefault="003C3C64" w:rsidP="003C3C64">
      <w:r w:rsidRPr="003C3C64">
        <w:t>Обеспечение ритмичной загрузки и сглаживание сезонных колебаний спроса планируется обеспечить используя долговременные контракты на поставку продукции и широкие возможности оборудования, позволяющего гибко реагировать на изменение конъюнктуры рынка.</w:t>
      </w:r>
    </w:p>
    <w:p w:rsidR="003C3C64" w:rsidRPr="003C3C64" w:rsidRDefault="003C3C64" w:rsidP="003C3C64"/>
    <w:tbl>
      <w:tblPr>
        <w:tblW w:w="0" w:type="auto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E1E1E" w:themeFill="background1"/>
        <w:tblLook w:val="00AF"/>
      </w:tblPr>
      <w:tblGrid>
        <w:gridCol w:w="3003"/>
        <w:gridCol w:w="2742"/>
        <w:gridCol w:w="1815"/>
        <w:gridCol w:w="2322"/>
      </w:tblGrid>
      <w:tr w:rsidR="003C3C64" w:rsidRPr="003C3C64" w:rsidTr="00E80249">
        <w:trPr>
          <w:jc w:val="center"/>
        </w:trPr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</w:pP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Объем производства, млн. шт./год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Цена (с НДС), руб./шт.</w:t>
            </w: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Выручка (без НДС), млн. руб./год</w:t>
            </w:r>
          </w:p>
        </w:tc>
      </w:tr>
      <w:tr w:rsidR="003C3C64" w:rsidRPr="003C3C64" w:rsidTr="00E80249">
        <w:trPr>
          <w:jc w:val="center"/>
        </w:trPr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</w:pPr>
            <w:r w:rsidRPr="003C3C64">
              <w:t>ординарная бутылка 0,5 л. (вес 340 гр.)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55,0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2,0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91,7</w:t>
            </w:r>
          </w:p>
        </w:tc>
      </w:tr>
      <w:tr w:rsidR="003C3C64" w:rsidRPr="003C3C64" w:rsidTr="00E80249">
        <w:trPr>
          <w:jc w:val="center"/>
        </w:trPr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</w:pPr>
            <w:r w:rsidRPr="003C3C64">
              <w:t>оригинальная бутылка 0,5 л. (вес 450 гр.)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20,0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6,0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100,0</w:t>
            </w:r>
          </w:p>
        </w:tc>
      </w:tr>
      <w:tr w:rsidR="003C3C64" w:rsidRPr="003C3C64" w:rsidTr="00E80249">
        <w:trPr>
          <w:jc w:val="center"/>
        </w:trPr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</w:pPr>
            <w:r w:rsidRPr="003C3C64">
              <w:t>банка «твист-офф» 0,25 л. (вес 160 гр.)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20,0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1,2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20,0</w:t>
            </w:r>
          </w:p>
        </w:tc>
      </w:tr>
      <w:tr w:rsidR="003C3C64" w:rsidRPr="003C3C64" w:rsidTr="00E80249">
        <w:trPr>
          <w:jc w:val="center"/>
        </w:trPr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</w:pPr>
            <w:r w:rsidRPr="003C3C64">
              <w:t>ВСЕГО</w:t>
            </w: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95,0</w:t>
            </w: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</w:p>
        </w:tc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C3C64">
            <w:pPr>
              <w:ind w:firstLine="0"/>
              <w:jc w:val="center"/>
            </w:pPr>
            <w:r w:rsidRPr="003C3C64">
              <w:t>211,7</w:t>
            </w:r>
          </w:p>
        </w:tc>
      </w:tr>
    </w:tbl>
    <w:p w:rsidR="00EC63F5" w:rsidRPr="003C3C64" w:rsidRDefault="00EC63F5" w:rsidP="003C3C64"/>
    <w:p w:rsidR="003C3C64" w:rsidRPr="003C3C64" w:rsidRDefault="003C3C64" w:rsidP="003C3C64">
      <w:r w:rsidRPr="003C3C64">
        <w:t>Анализ себестоимости</w:t>
      </w:r>
      <w:r w:rsidR="003F028B">
        <w:t xml:space="preserve"> продукции включает следующие к</w:t>
      </w:r>
      <w:r w:rsidRPr="003C3C64">
        <w:t>алькулируемые элементы себестоимости: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t xml:space="preserve">Суммарные затраты на приобретение сырья и материалов составят 46,23 млн. руб. в год, или 21,8 % от выручки. 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t>Затраты на оплату труда, вместе с отчислениями в социальные фонды достигнут 27,6 млн. руб. в год (13% от выручки).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t>Расчет общехозяйственных и общезаводских расходов осуществлен укрупненным способом. Прочие общепроизводственные расходы, включающие затраты на ремонт и эксплуатацию оборудования, обеспечение жизнедеятельности производства – запланированы в размере 7,2 млн. руб. в год, или 3,4 % от выручки, прочие общезаводские расходы (связь, командировки) – 3,2 млн. руб. в год (1,5% от выручки).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t>Затраты на изготовление оснастки – 4,2 млн. руб. в год  (2% от выручки).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t>Снабженческо-сбытовые расходы, а также затраты на рекламу составят 2,1 млн. руб. в год, или 1% от выручки.</w:t>
      </w:r>
    </w:p>
    <w:p w:rsidR="003C3C64" w:rsidRPr="003C3C64" w:rsidRDefault="003C3C64" w:rsidP="003F028B">
      <w:pPr>
        <w:pStyle w:val="a9"/>
        <w:numPr>
          <w:ilvl w:val="0"/>
          <w:numId w:val="18"/>
        </w:numPr>
        <w:ind w:left="0" w:firstLine="425"/>
      </w:pPr>
      <w:r w:rsidRPr="003C3C64">
        <w:lastRenderedPageBreak/>
        <w:t>Расчет амортизационных отчислений произведен по группам внеоборотных активов с соответствующими нормами амортизации, регламентируемыми законодательством Российской Федерации и составляет около 31 млн. руб. в год.</w:t>
      </w:r>
    </w:p>
    <w:p w:rsidR="003C3C64" w:rsidRPr="003C3C64" w:rsidRDefault="003C3C64" w:rsidP="003C3C64">
      <w:r w:rsidRPr="003C3C64">
        <w:rPr>
          <w:noProof/>
        </w:rPr>
        <w:drawing>
          <wp:inline distT="0" distB="0" distL="0" distR="0">
            <wp:extent cx="5605851" cy="3515096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851" cy="3515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3F5" w:rsidRPr="003C3C64" w:rsidRDefault="00EC63F5" w:rsidP="003C3C64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E1E1E" w:themeFill="background1"/>
        <w:tblLook w:val="00AF"/>
      </w:tblPr>
      <w:tblGrid>
        <w:gridCol w:w="2918"/>
        <w:gridCol w:w="3603"/>
        <w:gridCol w:w="2835"/>
      </w:tblGrid>
      <w:tr w:rsidR="003C3C64" w:rsidRPr="003C3C64" w:rsidTr="00E80249"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</w:pPr>
          </w:p>
        </w:tc>
        <w:tc>
          <w:tcPr>
            <w:tcW w:w="3603" w:type="dxa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Себестоимость, руб./ шт.</w:t>
            </w:r>
          </w:p>
        </w:tc>
        <w:tc>
          <w:tcPr>
            <w:tcW w:w="2835" w:type="dxa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Себестоимость</w:t>
            </w:r>
          </w:p>
          <w:p w:rsidR="003C3C64" w:rsidRPr="003C3C64" w:rsidRDefault="003C3C64" w:rsidP="003F028B">
            <w:pPr>
              <w:ind w:firstLine="0"/>
              <w:jc w:val="center"/>
            </w:pPr>
            <w:r w:rsidRPr="003C3C64">
              <w:t>Цена</w:t>
            </w:r>
          </w:p>
        </w:tc>
      </w:tr>
      <w:tr w:rsidR="003C3C64" w:rsidRPr="003C3C64" w:rsidTr="00E80249"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</w:pPr>
            <w:r w:rsidRPr="003C3C64">
              <w:t>ординарная бутылка</w:t>
            </w:r>
          </w:p>
        </w:tc>
        <w:tc>
          <w:tcPr>
            <w:tcW w:w="3603" w:type="dxa"/>
            <w:shd w:val="clear" w:color="auto" w:fill="1E1E1E" w:themeFill="background1"/>
            <w:vAlign w:val="center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1,36</w:t>
            </w:r>
          </w:p>
        </w:tc>
        <w:tc>
          <w:tcPr>
            <w:tcW w:w="2835" w:type="dxa"/>
            <w:shd w:val="clear" w:color="auto" w:fill="1E1E1E" w:themeFill="background1"/>
            <w:vAlign w:val="center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81 %</w:t>
            </w:r>
          </w:p>
        </w:tc>
      </w:tr>
      <w:tr w:rsidR="003C3C64" w:rsidRPr="003C3C64" w:rsidTr="00E80249"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</w:pPr>
            <w:r w:rsidRPr="003C3C64">
              <w:t>оригинальная бутылка</w:t>
            </w:r>
          </w:p>
        </w:tc>
        <w:tc>
          <w:tcPr>
            <w:tcW w:w="3603" w:type="dxa"/>
            <w:shd w:val="clear" w:color="auto" w:fill="1E1E1E" w:themeFill="background1"/>
            <w:vAlign w:val="center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1,80</w:t>
            </w:r>
          </w:p>
        </w:tc>
        <w:tc>
          <w:tcPr>
            <w:tcW w:w="2835" w:type="dxa"/>
            <w:shd w:val="clear" w:color="auto" w:fill="1E1E1E" w:themeFill="background1"/>
            <w:vAlign w:val="center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36 %</w:t>
            </w:r>
          </w:p>
        </w:tc>
      </w:tr>
      <w:tr w:rsidR="003C3C64" w:rsidRPr="003C3C64" w:rsidTr="00E80249">
        <w:tc>
          <w:tcPr>
            <w:tcW w:w="0" w:type="auto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</w:pPr>
            <w:r w:rsidRPr="003C3C64">
              <w:t>банка «твист-офф»</w:t>
            </w:r>
          </w:p>
        </w:tc>
        <w:tc>
          <w:tcPr>
            <w:tcW w:w="3603" w:type="dxa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0,64</w:t>
            </w:r>
          </w:p>
        </w:tc>
        <w:tc>
          <w:tcPr>
            <w:tcW w:w="2835" w:type="dxa"/>
            <w:shd w:val="clear" w:color="auto" w:fill="1E1E1E" w:themeFill="background1"/>
          </w:tcPr>
          <w:p w:rsidR="003C3C64" w:rsidRPr="003C3C64" w:rsidRDefault="003C3C64" w:rsidP="003F028B">
            <w:pPr>
              <w:ind w:firstLine="0"/>
              <w:jc w:val="center"/>
            </w:pPr>
            <w:r w:rsidRPr="003C3C64">
              <w:t>64 %</w:t>
            </w:r>
          </w:p>
        </w:tc>
      </w:tr>
    </w:tbl>
    <w:p w:rsidR="003F028B" w:rsidRDefault="003F028B" w:rsidP="003C3C64"/>
    <w:p w:rsidR="003C3C64" w:rsidRPr="003C3C64" w:rsidRDefault="003F028B" w:rsidP="003C3C64">
      <w:r>
        <w:t>Из полученных данных</w:t>
      </w:r>
      <w:r w:rsidR="003C3C64" w:rsidRPr="003C3C64">
        <w:t xml:space="preserve"> можно сделать вывод:</w:t>
      </w:r>
    </w:p>
    <w:p w:rsidR="003C3C64" w:rsidRPr="003C3C64" w:rsidRDefault="003C3C64" w:rsidP="003F028B">
      <w:pPr>
        <w:pStyle w:val="a9"/>
        <w:numPr>
          <w:ilvl w:val="0"/>
          <w:numId w:val="20"/>
        </w:numPr>
        <w:ind w:left="851"/>
      </w:pPr>
      <w:r w:rsidRPr="003C3C64">
        <w:t>В структуре затрат доля переменных издержек составляет около 30%.</w:t>
      </w:r>
    </w:p>
    <w:p w:rsidR="003C3C64" w:rsidRPr="003C3C64" w:rsidRDefault="003C3C64" w:rsidP="003F028B">
      <w:pPr>
        <w:pStyle w:val="a9"/>
        <w:numPr>
          <w:ilvl w:val="0"/>
          <w:numId w:val="20"/>
        </w:numPr>
        <w:ind w:left="851"/>
      </w:pPr>
      <w:r w:rsidRPr="003C3C64">
        <w:t>Точка безубыточности находится на уровне 47% планового объема производства.</w:t>
      </w:r>
    </w:p>
    <w:p w:rsidR="003C3C64" w:rsidRPr="003C3C64" w:rsidRDefault="003C3C64" w:rsidP="003F028B">
      <w:pPr>
        <w:pStyle w:val="a9"/>
        <w:numPr>
          <w:ilvl w:val="0"/>
          <w:numId w:val="20"/>
        </w:numPr>
        <w:ind w:left="851"/>
      </w:pPr>
      <w:r w:rsidRPr="003C3C64">
        <w:t>Прибыльная деятельность завода будет обеспечена при выручке 100 млн. руб. в год.</w:t>
      </w:r>
    </w:p>
    <w:p w:rsidR="00EC63F5" w:rsidRPr="00553ACE" w:rsidRDefault="00EC63F5" w:rsidP="00553ACE"/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Default="00EC63F5" w:rsidP="00EC63F5">
      <w:pPr>
        <w:jc w:val="center"/>
      </w:pPr>
    </w:p>
    <w:p w:rsidR="00EC63F5" w:rsidRPr="00EC63F5" w:rsidRDefault="00EC63F5" w:rsidP="00EC63F5">
      <w:pPr>
        <w:jc w:val="center"/>
        <w:rPr>
          <w:rFonts w:eastAsia="Times New Roman" w:cs="Times New Roman"/>
        </w:rPr>
      </w:pPr>
    </w:p>
    <w:p w:rsidR="00EC63F5" w:rsidRDefault="00EC63F5" w:rsidP="00EC63F5">
      <w:pPr>
        <w:pStyle w:val="1"/>
        <w:jc w:val="center"/>
      </w:pPr>
      <w:bookmarkStart w:id="4" w:name="_Toc419916627"/>
      <w:r>
        <w:lastRenderedPageBreak/>
        <w:t>3. Инвестиционный план</w:t>
      </w:r>
      <w:bookmarkEnd w:id="4"/>
    </w:p>
    <w:p w:rsidR="00FA1B6C" w:rsidRPr="00A254EF" w:rsidRDefault="00FA1B6C" w:rsidP="00A254EF"/>
    <w:p w:rsidR="003F028B" w:rsidRPr="00A254EF" w:rsidRDefault="003F028B" w:rsidP="00A254EF">
      <w:r w:rsidRPr="00A254EF">
        <w:t xml:space="preserve">Для реализации проекта предполагается создание Закрытого Акционерного Общества, учредителями которого выступят НПФ «АВС» и несколько дружественных компаний, выразивших желание инвестировать в проект. </w:t>
      </w:r>
    </w:p>
    <w:p w:rsidR="003F028B" w:rsidRPr="00A254EF" w:rsidRDefault="003F028B" w:rsidP="00A254EF">
      <w:r w:rsidRPr="00A254EF">
        <w:t>Производство планируется разместить в районе Базы Строительной Индустрии г. Набережные Челны, неподалеку от месторасположения НПФ «АВС». Промплощадка (3 га) обеспечена всеми необходимыми транспортными и энергетическими коммуникациями, а имеющийся производственный корпус (120х36х9 м) находится в высокой степени строительной готовности.</w:t>
      </w:r>
    </w:p>
    <w:p w:rsidR="003F028B" w:rsidRPr="00A254EF" w:rsidRDefault="003F028B" w:rsidP="00A254EF">
      <w:r w:rsidRPr="00A254EF">
        <w:t>Технологическое оснащение завода предполагается осуществить с использованием оборудования российского и зарубежного производства.</w:t>
      </w:r>
    </w:p>
    <w:p w:rsidR="003F028B" w:rsidRPr="00A254EF" w:rsidRDefault="003F028B" w:rsidP="00A254EF">
      <w:r w:rsidRPr="00A254EF">
        <w:t>Отечественный опыт внедрения и эксплуатации «комбинированных» линий («Красное Эхо», РАСКО, «Салаватстекло» и др.) показывает, что совместное использование российского и иностранного оборудования позволяет обеспечить требуемую производительность и уровень качества продукции при существенно меньших объемах первоначальных капиталовложений.</w:t>
      </w:r>
    </w:p>
    <w:p w:rsidR="003F028B" w:rsidRPr="00A254EF" w:rsidRDefault="003F028B" w:rsidP="00A254EF">
      <w:r w:rsidRPr="00A254EF">
        <w:t>Через 18 месяцев с начала финансирования проекта планируется ввести завод в эксплуатацию.</w:t>
      </w:r>
    </w:p>
    <w:p w:rsidR="00A254EF" w:rsidRPr="00A254EF" w:rsidRDefault="003F028B" w:rsidP="00A254EF">
      <w:r w:rsidRPr="00A254EF">
        <w:t>В течение последующих 6 месяцев производство будет выведено на проектную мощность.</w:t>
      </w:r>
    </w:p>
    <w:p w:rsidR="00EC63F5" w:rsidRDefault="003F028B" w:rsidP="00A254EF">
      <w:r w:rsidRPr="00A254EF">
        <w:t>Расходы на приобретение постоянных активов составят 355,3 млн. руб., из которых 6,8 млн. руб. – таможенные платежи и 59,2 млн. руб. – НДС</w:t>
      </w:r>
    </w:p>
    <w:p w:rsidR="00A41D08" w:rsidRPr="00A254EF" w:rsidRDefault="00A41D08" w:rsidP="00A254EF"/>
    <w:p w:rsidR="003F028B" w:rsidRDefault="003F028B" w:rsidP="00A254EF">
      <w:r w:rsidRPr="00A254EF">
        <w:t>Динамика и структура капвложений (с НДС и таможенными платежами), в тыс. руб.</w:t>
      </w:r>
    </w:p>
    <w:p w:rsidR="00FA1B6C" w:rsidRPr="00A254EF" w:rsidRDefault="00FA1B6C" w:rsidP="00A254E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E1E1E" w:themeFill="background1"/>
        <w:tblLook w:val="00AF"/>
      </w:tblPr>
      <w:tblGrid>
        <w:gridCol w:w="4928"/>
        <w:gridCol w:w="1126"/>
        <w:gridCol w:w="1126"/>
        <w:gridCol w:w="986"/>
        <w:gridCol w:w="1126"/>
      </w:tblGrid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 п/г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 п/г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п/г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ВСЕГО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Приобретение промплощадки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2 100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2 100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Проектные работы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Реконструкция производственного корпуса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7 875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7 875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15 750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Строительство составного цеха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15 750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15 750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31 500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Оборудование составного цеха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11 025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11 025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22 050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Материалы и оборудование для печи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15 750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15 750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31 500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СМР печи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Строительство вспомогательных сооружений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12 600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Импортное технологическое оборудование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47 477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54 259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69 181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170 917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Отечественное технологическое </w:t>
            </w:r>
            <w:r w:rsidRPr="00A254EF">
              <w:lastRenderedPageBreak/>
              <w:t>оборудование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lastRenderedPageBreak/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12 600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lastRenderedPageBreak/>
              <w:t>Строительство КТЦ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4 725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4 725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9 450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Оборудование КТЦ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 xml:space="preserve">Строительство АБК 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6 300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Оргтехника, мебель и прочее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1 575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1 575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3 150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Транспорт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0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2 363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2 363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4 725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Непредвиденные расходы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5 946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7 311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3 662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16 920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ИТОГО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115 373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142 683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97 256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355 312</w:t>
            </w:r>
          </w:p>
        </w:tc>
      </w:tr>
      <w:tr w:rsidR="003F028B" w:rsidRPr="00A254EF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Доля, %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32,5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40,1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27,4</w:t>
            </w:r>
          </w:p>
        </w:tc>
        <w:tc>
          <w:tcPr>
            <w:tcW w:w="0" w:type="auto"/>
            <w:shd w:val="clear" w:color="auto" w:fill="1E1E1E" w:themeFill="background1"/>
          </w:tcPr>
          <w:p w:rsidR="003F028B" w:rsidRPr="00A254EF" w:rsidRDefault="003F028B" w:rsidP="00A254EF">
            <w:pPr>
              <w:ind w:firstLine="0"/>
            </w:pPr>
            <w:r w:rsidRPr="00A254EF">
              <w:t>100,0</w:t>
            </w:r>
          </w:p>
        </w:tc>
      </w:tr>
    </w:tbl>
    <w:p w:rsidR="00EC63F5" w:rsidRPr="00A254EF" w:rsidRDefault="00EC63F5" w:rsidP="00A254EF"/>
    <w:p w:rsidR="003F028B" w:rsidRPr="00A254EF" w:rsidRDefault="003F028B" w:rsidP="00A254EF">
      <w:r w:rsidRPr="00A254EF">
        <w:t>Потребность в оборотном капитале в размере 5,3 млн. руб. определена из необходимости покрытия текущих расходов в инвестиционной фазе проекта (3,9 млн. руб.), а также разности между нормируемыми текущими активами и текущими пассивами с учетом:</w:t>
      </w:r>
    </w:p>
    <w:p w:rsidR="00A254EF" w:rsidRDefault="003F028B" w:rsidP="00A254EF">
      <w:r w:rsidRPr="00A254EF">
        <w:t>•  объемов запасов сырья и материалов, незавершенной и готовой продукции</w:t>
      </w:r>
      <w:r w:rsidRPr="00A254EF">
        <w:tab/>
      </w:r>
      <w:r w:rsidRPr="00A254EF">
        <w:tab/>
      </w:r>
      <w:r w:rsidRPr="00A254EF">
        <w:tab/>
      </w:r>
    </w:p>
    <w:p w:rsidR="003F028B" w:rsidRPr="00A254EF" w:rsidRDefault="003F028B" w:rsidP="00A254EF">
      <w:r w:rsidRPr="00A254EF">
        <w:t>•  оплаты счетов поставщиков и покупателей</w:t>
      </w:r>
    </w:p>
    <w:p w:rsidR="00A254EF" w:rsidRDefault="003F028B" w:rsidP="00A254EF">
      <w:r w:rsidRPr="00A254EF">
        <w:t>•  расчетов</w:t>
      </w:r>
      <w:r w:rsidR="00A254EF">
        <w:t xml:space="preserve"> с бюджетом и персоналом</w:t>
      </w:r>
      <w:r w:rsidR="00A254EF">
        <w:tab/>
      </w:r>
      <w:r w:rsidR="00A254EF">
        <w:tab/>
      </w:r>
      <w:r w:rsidR="00A254EF">
        <w:tab/>
      </w:r>
      <w:r w:rsidR="00A254EF">
        <w:tab/>
      </w:r>
      <w:r w:rsidR="00A254EF">
        <w:tab/>
      </w:r>
    </w:p>
    <w:p w:rsidR="003F028B" w:rsidRPr="00A254EF" w:rsidRDefault="003F028B" w:rsidP="00A254EF">
      <w:r w:rsidRPr="00A254EF">
        <w:t xml:space="preserve">•  текущего резерва денежных средств </w:t>
      </w:r>
    </w:p>
    <w:p w:rsidR="003F028B" w:rsidRDefault="003F028B" w:rsidP="00A254EF">
      <w:r w:rsidRPr="00A254EF">
        <w:t>Общая величина необходимых инвестиций составляет 360,6 млн. руб.</w:t>
      </w:r>
    </w:p>
    <w:p w:rsidR="00A41D08" w:rsidRPr="00A254EF" w:rsidRDefault="00A41D08" w:rsidP="00A254EF"/>
    <w:p w:rsidR="00A254EF" w:rsidRDefault="00A254EF" w:rsidP="00A254EF"/>
    <w:p w:rsidR="00EC63F5" w:rsidRDefault="00EC63F5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A41D08" w:rsidRDefault="00A41D08" w:rsidP="00EC63F5"/>
    <w:p w:rsidR="00EC63F5" w:rsidRDefault="00EC63F5" w:rsidP="00EC63F5"/>
    <w:p w:rsidR="00EC63F5" w:rsidRDefault="00EC63F5" w:rsidP="00EC63F5"/>
    <w:p w:rsidR="00EC63F5" w:rsidRPr="00EC63F5" w:rsidRDefault="00EC63F5" w:rsidP="00EC63F5">
      <w:pPr>
        <w:rPr>
          <w:rFonts w:eastAsia="Times New Roman" w:cs="Times New Roman"/>
        </w:rPr>
      </w:pPr>
    </w:p>
    <w:p w:rsidR="00EC63F5" w:rsidRDefault="00EC63F5" w:rsidP="00EC63F5">
      <w:pPr>
        <w:pStyle w:val="1"/>
        <w:jc w:val="center"/>
      </w:pPr>
      <w:bookmarkStart w:id="5" w:name="_Toc419916628"/>
      <w:r>
        <w:lastRenderedPageBreak/>
        <w:t>4. Производственный план</w:t>
      </w:r>
      <w:bookmarkEnd w:id="5"/>
    </w:p>
    <w:p w:rsidR="00AA455A" w:rsidRDefault="00AA455A" w:rsidP="00AA455A"/>
    <w:p w:rsidR="00AA455A" w:rsidRPr="00AA455A" w:rsidRDefault="00AA455A" w:rsidP="00AA455A">
      <w:r>
        <w:t>План производства и продаж рассчитан исходя из спрогнозированного спроса на продукцию и с учетом технологических возможностей создаваемого предприятия.</w:t>
      </w:r>
    </w:p>
    <w:p w:rsidR="00ED7A8B" w:rsidRPr="00ED7A8B" w:rsidRDefault="00ED7A8B" w:rsidP="00ED7A8B"/>
    <w:p w:rsidR="00EC63F5" w:rsidRPr="00ED7A8B" w:rsidRDefault="00ED7A8B" w:rsidP="00ED7A8B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Денежный поток от операционной деятельности</w:t>
      </w:r>
    </w:p>
    <w:p w:rsidR="00EC63F5" w:rsidRDefault="00EC63F5" w:rsidP="00EC63F5">
      <w:pPr>
        <w:jc w:val="center"/>
      </w:pPr>
    </w:p>
    <w:tbl>
      <w:tblPr>
        <w:tblW w:w="988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1100"/>
        <w:gridCol w:w="1200"/>
        <w:gridCol w:w="1200"/>
        <w:gridCol w:w="1200"/>
        <w:gridCol w:w="1200"/>
        <w:gridCol w:w="1200"/>
      </w:tblGrid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center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Показатель в млн. руб</w:t>
            </w:r>
            <w:r w:rsidR="00A41D08">
              <w:t>.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4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5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6 год</w:t>
            </w:r>
          </w:p>
        </w:tc>
      </w:tr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 xml:space="preserve">Выручка от продаж 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0,000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31,750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211,666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211,666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211,666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211,666</w:t>
            </w:r>
          </w:p>
        </w:tc>
      </w:tr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Затраты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1,003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36,900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123,200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123,600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123,600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123,600</w:t>
            </w:r>
          </w:p>
        </w:tc>
      </w:tr>
      <w:tr w:rsidR="00ED7A8B" w:rsidRPr="00ED7A8B" w:rsidTr="00ED7A8B">
        <w:trPr>
          <w:trHeight w:val="600"/>
        </w:trPr>
        <w:tc>
          <w:tcPr>
            <w:tcW w:w="2780" w:type="dxa"/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Амортизация основных средств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0,000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14,208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30,904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30,904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30,904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30,904</w:t>
            </w:r>
          </w:p>
        </w:tc>
      </w:tr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Балансовая прибыль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-1,003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-5,150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88,466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88,066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88,066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88,066</w:t>
            </w:r>
          </w:p>
        </w:tc>
      </w:tr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Налог на прибыль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-0,241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-1,236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21,232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21,136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21,136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21,136</w:t>
            </w:r>
          </w:p>
        </w:tc>
      </w:tr>
      <w:tr w:rsidR="00ED7A8B" w:rsidRPr="00ED7A8B" w:rsidTr="00ED7A8B">
        <w:trPr>
          <w:trHeight w:val="300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Чистая прибыль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-0,762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-3,914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67,234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66,930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66,930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66,930</w:t>
            </w:r>
          </w:p>
        </w:tc>
      </w:tr>
      <w:tr w:rsidR="00ED7A8B" w:rsidRPr="00ED7A8B" w:rsidTr="00ED7A8B">
        <w:trPr>
          <w:trHeight w:val="1200"/>
        </w:trPr>
        <w:tc>
          <w:tcPr>
            <w:tcW w:w="2780" w:type="dxa"/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Текущее сальдо денежного потока от операционной деятельности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-0,762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10,294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98,138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97,834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97,834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spacing w:line="20" w:lineRule="atLeast"/>
              <w:ind w:firstLine="0"/>
            </w:pPr>
            <w:r w:rsidRPr="00ED7A8B">
              <w:t>97,834</w:t>
            </w:r>
          </w:p>
        </w:tc>
      </w:tr>
    </w:tbl>
    <w:p w:rsidR="00EC63F5" w:rsidRDefault="00EC63F5" w:rsidP="00EC63F5">
      <w:pPr>
        <w:jc w:val="center"/>
      </w:pPr>
    </w:p>
    <w:p w:rsidR="00A41D08" w:rsidRDefault="00AA455A" w:rsidP="00AA455A">
      <w:r>
        <w:t>Ежегодная выручка составит 211,67 млн. руб., из которых 90 % будет обеспечиваться за счет реализации узкогорлой стеклотары.</w:t>
      </w:r>
    </w:p>
    <w:p w:rsidR="00AA455A" w:rsidRDefault="00AA455A" w:rsidP="00AA455A">
      <w:r>
        <w:t>Расчет амортизационных отчислений произведен по группам внеоборотных активов с соответствующими нормами амортизации, регламентируемыми законодательством Российской Федерации и составляет около 31 млн. руб. в год.</w:t>
      </w:r>
    </w:p>
    <w:p w:rsidR="00AA455A" w:rsidRDefault="00AA455A" w:rsidP="00AA455A">
      <w:r>
        <w:t>В структуре затрат доля переменных издержек составляет около 30%.</w:t>
      </w:r>
    </w:p>
    <w:p w:rsidR="00AA455A" w:rsidRDefault="00AA455A" w:rsidP="00AA455A">
      <w:r>
        <w:t>Точка безубыточности находится на уровне 47% планового объема производства.</w:t>
      </w:r>
    </w:p>
    <w:p w:rsidR="00AA455A" w:rsidRDefault="00AA455A" w:rsidP="00AA455A">
      <w:r>
        <w:t>Прибыльная деятельность завода будет обеспечена при выручке 100 млн. руб. в год.</w:t>
      </w:r>
    </w:p>
    <w:p w:rsidR="00E80249" w:rsidRDefault="00E80249" w:rsidP="00E80249"/>
    <w:p w:rsidR="00E80249" w:rsidRDefault="00E80249" w:rsidP="00E80249"/>
    <w:p w:rsidR="00E80249" w:rsidRDefault="00E80249" w:rsidP="00E80249"/>
    <w:p w:rsidR="00E80249" w:rsidRDefault="00E80249" w:rsidP="00E80249"/>
    <w:p w:rsidR="00E80249" w:rsidRDefault="00E80249" w:rsidP="00E80249"/>
    <w:p w:rsidR="00ED7A8B" w:rsidRDefault="00ED7A8B" w:rsidP="00663E31">
      <w:pPr>
        <w:rPr>
          <w:szCs w:val="28"/>
        </w:rPr>
      </w:pPr>
    </w:p>
    <w:p w:rsidR="00ED7A8B" w:rsidRDefault="00ED7A8B" w:rsidP="00663E31">
      <w:pPr>
        <w:rPr>
          <w:szCs w:val="28"/>
        </w:rPr>
      </w:pPr>
    </w:p>
    <w:p w:rsidR="00ED7A8B" w:rsidRDefault="00ED7A8B" w:rsidP="00663E31">
      <w:pPr>
        <w:rPr>
          <w:szCs w:val="28"/>
        </w:rPr>
      </w:pPr>
    </w:p>
    <w:p w:rsidR="00ED7A8B" w:rsidRDefault="00ED7A8B" w:rsidP="00663E31">
      <w:pPr>
        <w:rPr>
          <w:szCs w:val="28"/>
        </w:rPr>
      </w:pPr>
    </w:p>
    <w:p w:rsidR="00EC63F5" w:rsidRDefault="00EC63F5" w:rsidP="00EC63F5">
      <w:pPr>
        <w:pStyle w:val="1"/>
        <w:jc w:val="center"/>
      </w:pPr>
      <w:bookmarkStart w:id="6" w:name="_Toc419916629"/>
      <w:r>
        <w:lastRenderedPageBreak/>
        <w:t xml:space="preserve">5. </w:t>
      </w:r>
      <w:r w:rsidRPr="00EC63F5">
        <w:rPr>
          <w:rFonts w:ascii="Cambria" w:eastAsia="Times New Roman" w:hAnsi="Cambria" w:cs="Times New Roman"/>
          <w:color w:val="365F91"/>
        </w:rPr>
        <w:t xml:space="preserve">Финансовый </w:t>
      </w:r>
      <w:r>
        <w:t>план</w:t>
      </w:r>
      <w:bookmarkEnd w:id="6"/>
    </w:p>
    <w:p w:rsidR="00A41D08" w:rsidRPr="00A41D08" w:rsidRDefault="00A41D08" w:rsidP="00A41D08"/>
    <w:p w:rsidR="00A41D08" w:rsidRPr="0046021E" w:rsidRDefault="00A41D08" w:rsidP="00A41D08">
      <w:r w:rsidRPr="0046021E">
        <w:t>Общая величина необходимых инвестиций составляет 360,6 млн. руб., в том числе:</w:t>
      </w:r>
    </w:p>
    <w:p w:rsidR="00A41D08" w:rsidRPr="0046021E" w:rsidRDefault="00A41D08" w:rsidP="00A41D08">
      <w:pPr>
        <w:pStyle w:val="a9"/>
        <w:numPr>
          <w:ilvl w:val="0"/>
          <w:numId w:val="22"/>
        </w:numPr>
        <w:ind w:left="567"/>
      </w:pPr>
      <w:r w:rsidRPr="0046021E">
        <w:t>на приобретение постоянных активов – 355,3 млн. руб., из которых 6,8 млн. руб. – таможенные платежи и 59,2 млн. руб. – НДС;</w:t>
      </w:r>
    </w:p>
    <w:p w:rsidR="00A41D08" w:rsidRPr="0046021E" w:rsidRDefault="00A41D08" w:rsidP="00A41D08">
      <w:pPr>
        <w:pStyle w:val="a9"/>
        <w:numPr>
          <w:ilvl w:val="0"/>
          <w:numId w:val="22"/>
        </w:numPr>
        <w:ind w:left="567"/>
      </w:pPr>
      <w:r w:rsidRPr="0046021E">
        <w:t xml:space="preserve">на формирование оборотного капитала – 5,3 млн. руб.  </w:t>
      </w:r>
    </w:p>
    <w:p w:rsidR="00A41D08" w:rsidRPr="0046021E" w:rsidRDefault="00A41D08" w:rsidP="00A41D08">
      <w:r w:rsidRPr="0046021E">
        <w:t>Предполагается использование комбинированной схемы финансирования проекта:</w:t>
      </w:r>
    </w:p>
    <w:p w:rsidR="00A41D08" w:rsidRPr="0046021E" w:rsidRDefault="00A41D08" w:rsidP="00A41D08">
      <w:pPr>
        <w:pStyle w:val="a9"/>
        <w:numPr>
          <w:ilvl w:val="0"/>
          <w:numId w:val="23"/>
        </w:numPr>
        <w:ind w:left="567"/>
      </w:pPr>
      <w:r w:rsidRPr="0046021E">
        <w:t>собственные средства НПФ «АВС» – 99,7 млн. руб. (27,6 %)</w:t>
      </w:r>
    </w:p>
    <w:p w:rsidR="00A41D08" w:rsidRPr="0046021E" w:rsidRDefault="00A41D08" w:rsidP="00A41D08">
      <w:pPr>
        <w:pStyle w:val="a9"/>
        <w:numPr>
          <w:ilvl w:val="0"/>
          <w:numId w:val="23"/>
        </w:numPr>
        <w:ind w:left="567"/>
      </w:pPr>
      <w:r w:rsidRPr="0046021E">
        <w:t>привлеченные средства других участников – 90,0 млн. руб. (25,0 %)</w:t>
      </w:r>
    </w:p>
    <w:p w:rsidR="00A41D08" w:rsidRDefault="00A41D08" w:rsidP="00A41D08">
      <w:pPr>
        <w:pStyle w:val="a9"/>
        <w:numPr>
          <w:ilvl w:val="0"/>
          <w:numId w:val="23"/>
        </w:numPr>
        <w:ind w:left="567"/>
      </w:pPr>
      <w:r w:rsidRPr="0046021E">
        <w:t>заемные средства – 170,9 млн. руб. (47,4 %) в виде банковского валютного кредита</w:t>
      </w:r>
      <w:r w:rsidR="00AA455A">
        <w:t xml:space="preserve"> под 12% годовых</w:t>
      </w:r>
      <w:r w:rsidRPr="0046021E">
        <w:t xml:space="preserve"> для закупки импортного технологического оборудования.</w:t>
      </w:r>
    </w:p>
    <w:p w:rsidR="00EC63F5" w:rsidRDefault="00EC63F5" w:rsidP="00EC63F5"/>
    <w:p w:rsidR="00E80249" w:rsidRPr="00E80249" w:rsidRDefault="00E80249" w:rsidP="00E80249">
      <w:pPr>
        <w:spacing w:line="360" w:lineRule="auto"/>
        <w:rPr>
          <w:rFonts w:cs="Times New Roman"/>
          <w:szCs w:val="28"/>
        </w:rPr>
      </w:pPr>
      <w:r w:rsidRPr="00352826">
        <w:rPr>
          <w:rFonts w:cs="Times New Roman"/>
          <w:szCs w:val="28"/>
        </w:rPr>
        <w:t>Денежный поток от инвестиционной и операционной деятельности</w:t>
      </w:r>
    </w:p>
    <w:tbl>
      <w:tblPr>
        <w:tblW w:w="0" w:type="auto"/>
        <w:tblLook w:val="04A0"/>
      </w:tblPr>
      <w:tblGrid>
        <w:gridCol w:w="3030"/>
        <w:gridCol w:w="1148"/>
        <w:gridCol w:w="1148"/>
        <w:gridCol w:w="1148"/>
        <w:gridCol w:w="1148"/>
        <w:gridCol w:w="1018"/>
        <w:gridCol w:w="931"/>
      </w:tblGrid>
      <w:tr w:rsidR="00ED7A8B" w:rsidRPr="00ED7A8B" w:rsidTr="00A220F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Показатель в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1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3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4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5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6 год</w:t>
            </w:r>
          </w:p>
        </w:tc>
      </w:tr>
      <w:tr w:rsidR="00ED7A8B" w:rsidRPr="00ED7A8B" w:rsidTr="00A220F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Текущее сальдо денежного потока от инвестиционной и операционной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-350,306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10,294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98,138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97,834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97,834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97,834</w:t>
            </w:r>
          </w:p>
        </w:tc>
      </w:tr>
      <w:tr w:rsidR="00ED7A8B" w:rsidRPr="00ED7A8B" w:rsidTr="00A220F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Накопленное сальдо денежного потока от инвестиционной и операционной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-350,306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-340,012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-241,874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-144,040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-46,206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51,628</w:t>
            </w:r>
          </w:p>
        </w:tc>
      </w:tr>
      <w:tr w:rsidR="00ED7A8B" w:rsidRPr="00ED7A8B" w:rsidTr="00A220F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Фактор множитель текущей стоимости дисконтирования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0,9350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0,8730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0,8445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0,8160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0,7895</w:t>
            </w:r>
          </w:p>
        </w:tc>
      </w:tr>
      <w:tr w:rsidR="00ED7A8B" w:rsidRPr="00ED7A8B" w:rsidTr="00A220F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Дисконтированное текущее сальдо денежного потока от инвестиционное и операционной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-327,536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9,306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85,674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82,621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79,833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77,240</w:t>
            </w:r>
          </w:p>
        </w:tc>
      </w:tr>
      <w:tr w:rsidR="00ED7A8B" w:rsidRPr="00ED7A8B" w:rsidTr="00A220F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Накопленное дисконтированное сальдо денежного потока от инвестиционной и операционной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-327,536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-318,230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-232,556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-149,935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-70,103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80249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E80249">
              <w:rPr>
                <w:rFonts w:eastAsia="Times New Roman" w:cs="Times New Roman"/>
                <w:color w:val="000000"/>
                <w:sz w:val="26"/>
                <w:szCs w:val="26"/>
              </w:rPr>
              <w:t>7,137</w:t>
            </w:r>
          </w:p>
        </w:tc>
      </w:tr>
    </w:tbl>
    <w:p w:rsidR="00E80249" w:rsidRPr="0046021E" w:rsidRDefault="00E80249" w:rsidP="0046021E">
      <w:r w:rsidRPr="00E139B0">
        <w:rPr>
          <w:rFonts w:cs="Times New Roman"/>
          <w:szCs w:val="28"/>
        </w:rPr>
        <w:lastRenderedPageBreak/>
        <w:t>Денежный поток от финансовой деятельности</w:t>
      </w:r>
    </w:p>
    <w:p w:rsidR="00EC63F5" w:rsidRDefault="00EC63F5" w:rsidP="0046021E"/>
    <w:tbl>
      <w:tblPr>
        <w:tblW w:w="0" w:type="auto"/>
        <w:tblInd w:w="89" w:type="dxa"/>
        <w:tblLook w:val="04A0"/>
      </w:tblPr>
      <w:tblGrid>
        <w:gridCol w:w="3482"/>
        <w:gridCol w:w="824"/>
        <w:gridCol w:w="1018"/>
        <w:gridCol w:w="1018"/>
        <w:gridCol w:w="1018"/>
        <w:gridCol w:w="1061"/>
        <w:gridCol w:w="1061"/>
      </w:tblGrid>
      <w:tr w:rsidR="00ED7A8B" w:rsidRPr="00ED7A8B" w:rsidTr="00A220F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Показатель в млн</w:t>
            </w:r>
            <w:r>
              <w:rPr>
                <w:rFonts w:eastAsia="Times New Roman" w:cs="Times New Roman"/>
                <w:color w:val="000000"/>
                <w:szCs w:val="28"/>
              </w:rPr>
              <w:t>.</w:t>
            </w:r>
            <w:r w:rsidRPr="00ED7A8B">
              <w:rPr>
                <w:rFonts w:eastAsia="Times New Roman" w:cs="Times New Roman"/>
                <w:color w:val="000000"/>
                <w:szCs w:val="28"/>
              </w:rPr>
              <w:t xml:space="preserve">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1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3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4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5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A8B" w:rsidRPr="00ED7A8B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6 год</w:t>
            </w:r>
          </w:p>
        </w:tc>
      </w:tr>
      <w:tr w:rsidR="00ED7A8B" w:rsidRPr="00ED7A8B" w:rsidTr="00A220F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 xml:space="preserve"> Текущая потребность во внешнем финансировании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D7A8B" w:rsidRPr="00ED7A8B" w:rsidTr="00A220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Собственные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D7A8B" w:rsidRPr="00ED7A8B" w:rsidTr="00A220F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 xml:space="preserve"> Потребность в заёмных средствах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D7A8B" w:rsidRPr="00ED7A8B" w:rsidTr="00A220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Задолженность по кредиту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D7A8B" w:rsidRPr="00ED7A8B" w:rsidTr="00A220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Погашение кредита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34,180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34,180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34,180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34,180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34,180</w:t>
            </w:r>
          </w:p>
        </w:tc>
      </w:tr>
      <w:tr w:rsidR="00ED7A8B" w:rsidRPr="00ED7A8B" w:rsidTr="00A220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Проценты по кредиту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16,406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12,305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8,203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4,102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0,000</w:t>
            </w:r>
          </w:p>
        </w:tc>
      </w:tr>
      <w:tr w:rsidR="00ED7A8B" w:rsidRPr="00ED7A8B" w:rsidTr="00A220F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Текущее сальдо денежного потока от финансовой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-50,586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-46,485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-42,383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-38,282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-34,180</w:t>
            </w:r>
          </w:p>
        </w:tc>
      </w:tr>
      <w:tr w:rsidR="00ED7A8B" w:rsidRPr="00ED7A8B" w:rsidTr="00A220F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Текущее сальдо денежного потока от инвестиционной, операционной и финансовой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33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-41,280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39,189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40,238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41,551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43,060</w:t>
            </w:r>
          </w:p>
        </w:tc>
      </w:tr>
      <w:tr w:rsidR="00ED7A8B" w:rsidRPr="00ED7A8B" w:rsidTr="00A220F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Накопленное сальдо от инвестиционной, операционной и финансовой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33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-8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71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112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57ED9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155</w:t>
            </w:r>
            <w:r w:rsidR="00ED7A8B"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,818</w:t>
            </w:r>
          </w:p>
        </w:tc>
      </w:tr>
      <w:tr w:rsidR="00ED7A8B" w:rsidRPr="00ED7A8B" w:rsidTr="00A220F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8B" w:rsidRPr="00ED7A8B" w:rsidRDefault="00ED7A8B" w:rsidP="00ED7A8B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</w:rPr>
            </w:pPr>
            <w:r w:rsidRPr="00ED7A8B">
              <w:rPr>
                <w:rFonts w:eastAsia="Times New Roman" w:cs="Times New Roman"/>
                <w:color w:val="000000"/>
                <w:szCs w:val="28"/>
              </w:rPr>
              <w:t>Выполнение условий финансовой реализуемости (состоятельности)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8B" w:rsidRPr="00AF67CA" w:rsidRDefault="00ED7A8B" w:rsidP="00ED7A8B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AF67CA">
              <w:rPr>
                <w:rFonts w:eastAsia="Times New Roman" w:cs="Times New Roman"/>
                <w:color w:val="000000"/>
                <w:sz w:val="26"/>
                <w:szCs w:val="26"/>
              </w:rPr>
              <w:t>да</w:t>
            </w:r>
          </w:p>
        </w:tc>
      </w:tr>
    </w:tbl>
    <w:p w:rsidR="00ED7A8B" w:rsidRPr="0046021E" w:rsidRDefault="00ED7A8B" w:rsidP="0046021E"/>
    <w:p w:rsidR="00A41D08" w:rsidRDefault="00E80249" w:rsidP="0046021E">
      <w:pPr>
        <w:rPr>
          <w:rFonts w:cs="Times New Roman"/>
          <w:szCs w:val="28"/>
        </w:rPr>
      </w:pPr>
      <w:r w:rsidRPr="00E139B0">
        <w:rPr>
          <w:rFonts w:cs="Times New Roman"/>
          <w:szCs w:val="28"/>
        </w:rPr>
        <w:t>При выбранной схеме финансирования</w:t>
      </w:r>
      <w:r>
        <w:rPr>
          <w:rFonts w:cs="Times New Roman"/>
          <w:szCs w:val="28"/>
        </w:rPr>
        <w:t xml:space="preserve"> всегда выполняются условия финансовой реализуемости.</w:t>
      </w:r>
    </w:p>
    <w:p w:rsidR="00943793" w:rsidRDefault="00943793" w:rsidP="00943793">
      <w:pPr>
        <w:pStyle w:val="a9"/>
        <w:ind w:left="1287" w:firstLine="0"/>
      </w:pPr>
    </w:p>
    <w:p w:rsidR="00943793" w:rsidRDefault="00943793" w:rsidP="00943793">
      <w:pPr>
        <w:pStyle w:val="a9"/>
        <w:ind w:left="1287" w:firstLine="0"/>
      </w:pPr>
      <w:r w:rsidRPr="0046021E">
        <w:t>Интегральные параметры:</w:t>
      </w:r>
    </w:p>
    <w:p w:rsidR="00943793" w:rsidRPr="0046021E" w:rsidRDefault="00943793" w:rsidP="00943793">
      <w:pPr>
        <w:pStyle w:val="a9"/>
        <w:ind w:left="128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E1E1E" w:themeFill="background1"/>
        <w:tblLook w:val="00BF"/>
      </w:tblPr>
      <w:tblGrid>
        <w:gridCol w:w="4762"/>
        <w:gridCol w:w="1158"/>
      </w:tblGrid>
      <w:tr w:rsidR="00943793" w:rsidRPr="0046021E" w:rsidTr="00C31216"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>В</w:t>
            </w:r>
            <w:r w:rsidR="00AF67CA">
              <w:t>нутренняя норма доходности</w:t>
            </w:r>
            <w:r w:rsidRPr="0046021E">
              <w:t xml:space="preserve"> 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>31,0%</w:t>
            </w:r>
          </w:p>
        </w:tc>
      </w:tr>
      <w:tr w:rsidR="00943793" w:rsidRPr="0046021E" w:rsidTr="00C31216"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 xml:space="preserve">Индекс прибыльности 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>1,4</w:t>
            </w:r>
          </w:p>
        </w:tc>
      </w:tr>
      <w:tr w:rsidR="00943793" w:rsidRPr="0046021E" w:rsidTr="00C31216"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>Простой срок окупаемости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>
              <w:t>5,5</w:t>
            </w:r>
            <w:r w:rsidRPr="0046021E">
              <w:t xml:space="preserve"> года</w:t>
            </w:r>
          </w:p>
        </w:tc>
      </w:tr>
      <w:tr w:rsidR="00943793" w:rsidRPr="0046021E" w:rsidTr="00C31216"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 xml:space="preserve">Дисконтированный срок окупаемости </w:t>
            </w:r>
          </w:p>
        </w:tc>
        <w:tc>
          <w:tcPr>
            <w:tcW w:w="0" w:type="auto"/>
            <w:shd w:val="clear" w:color="auto" w:fill="1E1E1E" w:themeFill="background1"/>
            <w:vAlign w:val="center"/>
          </w:tcPr>
          <w:p w:rsidR="00943793" w:rsidRPr="0046021E" w:rsidRDefault="00943793" w:rsidP="00C31216">
            <w:pPr>
              <w:ind w:firstLine="0"/>
            </w:pPr>
            <w:r w:rsidRPr="0046021E">
              <w:t>5,9 года</w:t>
            </w:r>
          </w:p>
        </w:tc>
      </w:tr>
    </w:tbl>
    <w:p w:rsidR="00943793" w:rsidRPr="00943793" w:rsidRDefault="00943793" w:rsidP="0046021E">
      <w:r w:rsidRPr="00A41D08">
        <w:t>Параметры определены при номинальной годовой ставке дисконтирования rd= 20 %. В реальном исчислении значение ставки равно 6 %.</w:t>
      </w:r>
    </w:p>
    <w:p w:rsidR="00943793" w:rsidRDefault="00943793" w:rsidP="0046021E">
      <w:pPr>
        <w:rPr>
          <w:rFonts w:cs="Times New Roman"/>
          <w:szCs w:val="28"/>
        </w:rPr>
      </w:pPr>
    </w:p>
    <w:p w:rsidR="0046021E" w:rsidRPr="00A41D08" w:rsidRDefault="0046021E" w:rsidP="0046021E">
      <w:pPr>
        <w:rPr>
          <w:rFonts w:cs="Times New Roman"/>
          <w:szCs w:val="28"/>
        </w:rPr>
      </w:pPr>
      <w:r w:rsidRPr="0046021E">
        <w:t>Коммерческая эффективность и финансовая устойчивость проекта характеризуется следующими показателями (в среднегодовом исчислении):</w:t>
      </w:r>
    </w:p>
    <w:p w:rsidR="007A01F8" w:rsidRPr="0046021E" w:rsidRDefault="007A01F8" w:rsidP="0046021E"/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E1E1E" w:themeFill="background1"/>
        <w:tblLook w:val="00AF"/>
      </w:tblPr>
      <w:tblGrid>
        <w:gridCol w:w="4927"/>
        <w:gridCol w:w="797"/>
        <w:gridCol w:w="797"/>
        <w:gridCol w:w="797"/>
        <w:gridCol w:w="797"/>
        <w:gridCol w:w="797"/>
        <w:gridCol w:w="797"/>
      </w:tblGrid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1 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2 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 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4 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5 год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6 год</w:t>
            </w:r>
          </w:p>
        </w:tc>
      </w:tr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E80249">
            <w:pPr>
              <w:ind w:firstLine="0"/>
              <w:jc w:val="left"/>
            </w:pPr>
            <w:r w:rsidRPr="0046021E">
              <w:t>Рентабельность по чистой прибыли, %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–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–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40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48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51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52</w:t>
            </w:r>
          </w:p>
        </w:tc>
      </w:tr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E80249">
            <w:pPr>
              <w:ind w:firstLine="0"/>
              <w:jc w:val="left"/>
            </w:pPr>
            <w:r w:rsidRPr="0046021E">
              <w:t>Рентабельность активов, %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–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–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23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28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30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30</w:t>
            </w:r>
          </w:p>
        </w:tc>
      </w:tr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E80249">
            <w:pPr>
              <w:ind w:firstLine="0"/>
              <w:jc w:val="left"/>
            </w:pPr>
            <w:r w:rsidRPr="0046021E">
              <w:t>Оборачиваемость постоянных активов, дни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–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860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487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435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382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330</w:t>
            </w:r>
          </w:p>
        </w:tc>
      </w:tr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E80249">
            <w:pPr>
              <w:ind w:firstLine="0"/>
              <w:jc w:val="left"/>
            </w:pPr>
            <w:r w:rsidRPr="0046021E">
              <w:t xml:space="preserve">Коэффициент абсолютной ликвидности 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0,24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8,57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8,95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7,28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21,1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36,4</w:t>
            </w:r>
          </w:p>
        </w:tc>
      </w:tr>
      <w:tr w:rsidR="0046021E" w:rsidRPr="0046021E" w:rsidTr="00E80249">
        <w:trPr>
          <w:jc w:val="center"/>
        </w:trPr>
        <w:tc>
          <w:tcPr>
            <w:tcW w:w="4928" w:type="dxa"/>
            <w:shd w:val="clear" w:color="auto" w:fill="1E1E1E" w:themeFill="background1"/>
          </w:tcPr>
          <w:p w:rsidR="0046021E" w:rsidRPr="0046021E" w:rsidRDefault="0046021E" w:rsidP="00E80249">
            <w:pPr>
              <w:ind w:firstLine="0"/>
              <w:jc w:val="left"/>
            </w:pPr>
            <w:r w:rsidRPr="0046021E">
              <w:t>Коэффициент общей платежеспособности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0,60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0,48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0,70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0,98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0,98</w:t>
            </w:r>
          </w:p>
        </w:tc>
        <w:tc>
          <w:tcPr>
            <w:tcW w:w="0" w:type="auto"/>
            <w:shd w:val="clear" w:color="auto" w:fill="1E1E1E" w:themeFill="background1"/>
          </w:tcPr>
          <w:p w:rsidR="0046021E" w:rsidRPr="0046021E" w:rsidRDefault="0046021E" w:rsidP="007A01F8">
            <w:pPr>
              <w:ind w:firstLine="0"/>
            </w:pPr>
            <w:r w:rsidRPr="0046021E">
              <w:t>0,98</w:t>
            </w:r>
          </w:p>
        </w:tc>
      </w:tr>
    </w:tbl>
    <w:p w:rsidR="00E80249" w:rsidRDefault="00E80249" w:rsidP="0046021E"/>
    <w:p w:rsidR="0046021E" w:rsidRDefault="0046021E" w:rsidP="0046021E">
      <w:r w:rsidRPr="0046021E">
        <w:t xml:space="preserve">Плановые уровни рентабельности соответствуют достижениям лидеров стекольной отрасли, а значения коэффициентов ликвидности и платежеспособности свидетельствуют о достаточной финансовой надежности проекта. </w:t>
      </w:r>
    </w:p>
    <w:p w:rsidR="00943793" w:rsidRDefault="00943793" w:rsidP="0046021E"/>
    <w:p w:rsidR="00A220F4" w:rsidRDefault="00A220F4" w:rsidP="0046021E"/>
    <w:p w:rsidR="00A220F4" w:rsidRDefault="00A220F4" w:rsidP="0046021E"/>
    <w:p w:rsidR="00A220F4" w:rsidRDefault="00A220F4" w:rsidP="0046021E"/>
    <w:p w:rsidR="00A220F4" w:rsidRDefault="00A220F4" w:rsidP="0046021E"/>
    <w:p w:rsidR="00A220F4" w:rsidRDefault="00A220F4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A41D08" w:rsidRDefault="00A41D08" w:rsidP="0046021E"/>
    <w:p w:rsidR="00EC63F5" w:rsidRDefault="00EC63F5" w:rsidP="00EC63F5">
      <w:pPr>
        <w:pStyle w:val="1"/>
        <w:jc w:val="center"/>
      </w:pPr>
      <w:bookmarkStart w:id="7" w:name="_Toc419916630"/>
      <w:r w:rsidRPr="00EC63F5">
        <w:t>Заключение</w:t>
      </w:r>
      <w:bookmarkEnd w:id="7"/>
    </w:p>
    <w:p w:rsidR="00943793" w:rsidRPr="00943793" w:rsidRDefault="00943793" w:rsidP="00943793"/>
    <w:p w:rsidR="00943793" w:rsidRPr="00A55DFC" w:rsidRDefault="00943793" w:rsidP="00943793">
      <w:r>
        <w:t>Подводя итог хотелось бы напомнить, что цель данного проекта: создание современного производства высококачественной стеклянной тары широкого ассортимента для удовлетворения потребностей ликероводочной, пищевой и перерабатывающей промышленности.</w:t>
      </w:r>
    </w:p>
    <w:p w:rsidR="00943793" w:rsidRDefault="00943793" w:rsidP="00943793">
      <w:r>
        <w:lastRenderedPageBreak/>
        <w:t xml:space="preserve">Рассчитанный в данной работе показатели свидетельствуют о том, что проект </w:t>
      </w:r>
      <w:r w:rsidRPr="00A41D08">
        <w:t>«Организаци</w:t>
      </w:r>
      <w:r>
        <w:t xml:space="preserve">я производства стеклянной тары» </w:t>
      </w:r>
      <w:r w:rsidRPr="00A41D08">
        <w:t>обладает высокой степенью инвестиционной привлекательности</w:t>
      </w:r>
      <w:r>
        <w:t xml:space="preserve"> и </w:t>
      </w:r>
      <w:r w:rsidRPr="0046021E">
        <w:t xml:space="preserve">свидетельствуют о достаточной финансовой надежности проекта. </w:t>
      </w:r>
    </w:p>
    <w:p w:rsidR="003C000C" w:rsidRPr="00EC63F5" w:rsidRDefault="003C000C"/>
    <w:sectPr w:rsidR="003C000C" w:rsidRPr="00EC63F5" w:rsidSect="00AF67C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8A8" w:rsidRDefault="007A48A8" w:rsidP="00AF67CA">
      <w:r>
        <w:separator/>
      </w:r>
    </w:p>
  </w:endnote>
  <w:endnote w:type="continuationSeparator" w:id="1">
    <w:p w:rsidR="007A48A8" w:rsidRDefault="007A48A8" w:rsidP="00AF6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78173"/>
      <w:docPartObj>
        <w:docPartGallery w:val="Page Numbers (Bottom of Page)"/>
        <w:docPartUnique/>
      </w:docPartObj>
    </w:sdtPr>
    <w:sdtContent>
      <w:p w:rsidR="00AF67CA" w:rsidRDefault="00135A88">
        <w:pPr>
          <w:pStyle w:val="ad"/>
          <w:jc w:val="center"/>
        </w:pPr>
        <w:fldSimple w:instr=" PAGE   \* MERGEFORMAT ">
          <w:r w:rsidR="00E57ED9">
            <w:rPr>
              <w:noProof/>
            </w:rPr>
            <w:t>13</w:t>
          </w:r>
        </w:fldSimple>
      </w:p>
    </w:sdtContent>
  </w:sdt>
  <w:p w:rsidR="00AF67CA" w:rsidRDefault="00AF67C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8A8" w:rsidRDefault="007A48A8" w:rsidP="00AF67CA">
      <w:r>
        <w:separator/>
      </w:r>
    </w:p>
  </w:footnote>
  <w:footnote w:type="continuationSeparator" w:id="1">
    <w:p w:rsidR="007A48A8" w:rsidRDefault="007A48A8" w:rsidP="00AF67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70CD"/>
      </v:shape>
    </w:pict>
  </w:numPicBullet>
  <w:abstractNum w:abstractNumId="0">
    <w:nsid w:val="05C326AF"/>
    <w:multiLevelType w:val="hybridMultilevel"/>
    <w:tmpl w:val="98A0C8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40552"/>
    <w:multiLevelType w:val="singleLevel"/>
    <w:tmpl w:val="E3A48D44"/>
    <w:lvl w:ilvl="0">
      <w:start w:val="1"/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20087885"/>
    <w:multiLevelType w:val="hybridMultilevel"/>
    <w:tmpl w:val="8BACDB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CC43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06842D6"/>
    <w:multiLevelType w:val="hybridMultilevel"/>
    <w:tmpl w:val="84C4F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448A0"/>
    <w:multiLevelType w:val="hybridMultilevel"/>
    <w:tmpl w:val="C95456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1E4BE6"/>
    <w:multiLevelType w:val="hybridMultilevel"/>
    <w:tmpl w:val="F6A0F166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8972E0E"/>
    <w:multiLevelType w:val="hybridMultilevel"/>
    <w:tmpl w:val="1F1E1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DE335B"/>
    <w:multiLevelType w:val="multilevel"/>
    <w:tmpl w:val="0090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B2128E8"/>
    <w:multiLevelType w:val="multilevel"/>
    <w:tmpl w:val="0090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E3831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A5E2ED6"/>
    <w:multiLevelType w:val="hybridMultilevel"/>
    <w:tmpl w:val="F9E2F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0C3FFD"/>
    <w:multiLevelType w:val="hybridMultilevel"/>
    <w:tmpl w:val="37EA8A4A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3287FA5"/>
    <w:multiLevelType w:val="multilevel"/>
    <w:tmpl w:val="EE06FF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57A71C4"/>
    <w:multiLevelType w:val="multilevel"/>
    <w:tmpl w:val="7644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6927316"/>
    <w:multiLevelType w:val="hybridMultilevel"/>
    <w:tmpl w:val="BCAA5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758221E"/>
    <w:multiLevelType w:val="hybridMultilevel"/>
    <w:tmpl w:val="22EAF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B7A084A"/>
    <w:multiLevelType w:val="hybridMultilevel"/>
    <w:tmpl w:val="F68291E2"/>
    <w:lvl w:ilvl="0" w:tplc="042690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E864D26"/>
    <w:multiLevelType w:val="hybridMultilevel"/>
    <w:tmpl w:val="CE8C5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1634203"/>
    <w:multiLevelType w:val="hybridMultilevel"/>
    <w:tmpl w:val="5574AB9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68776CB"/>
    <w:multiLevelType w:val="hybridMultilevel"/>
    <w:tmpl w:val="2FE6E28A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82D2C28"/>
    <w:multiLevelType w:val="singleLevel"/>
    <w:tmpl w:val="D152D43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2">
    <w:nsid w:val="788553D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3">
    <w:nsid w:val="7FF701AB"/>
    <w:multiLevelType w:val="hybridMultilevel"/>
    <w:tmpl w:val="663C7B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3"/>
  </w:num>
  <w:num w:numId="5">
    <w:abstractNumId w:val="14"/>
  </w:num>
  <w:num w:numId="6">
    <w:abstractNumId w:val="9"/>
  </w:num>
  <w:num w:numId="7">
    <w:abstractNumId w:val="8"/>
  </w:num>
  <w:num w:numId="8">
    <w:abstractNumId w:val="22"/>
  </w:num>
  <w:num w:numId="9">
    <w:abstractNumId w:val="1"/>
  </w:num>
  <w:num w:numId="10">
    <w:abstractNumId w:val="18"/>
  </w:num>
  <w:num w:numId="11">
    <w:abstractNumId w:val="12"/>
  </w:num>
  <w:num w:numId="12">
    <w:abstractNumId w:val="10"/>
  </w:num>
  <w:num w:numId="13">
    <w:abstractNumId w:val="19"/>
  </w:num>
  <w:num w:numId="14">
    <w:abstractNumId w:val="0"/>
  </w:num>
  <w:num w:numId="15">
    <w:abstractNumId w:val="4"/>
  </w:num>
  <w:num w:numId="16">
    <w:abstractNumId w:val="16"/>
  </w:num>
  <w:num w:numId="17">
    <w:abstractNumId w:val="11"/>
  </w:num>
  <w:num w:numId="18">
    <w:abstractNumId w:val="20"/>
  </w:num>
  <w:num w:numId="19">
    <w:abstractNumId w:val="6"/>
  </w:num>
  <w:num w:numId="20">
    <w:abstractNumId w:val="15"/>
  </w:num>
  <w:num w:numId="21">
    <w:abstractNumId w:val="3"/>
  </w:num>
  <w:num w:numId="22">
    <w:abstractNumId w:val="5"/>
  </w:num>
  <w:num w:numId="23">
    <w:abstractNumId w:val="7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06D4"/>
    <w:rsid w:val="00135A88"/>
    <w:rsid w:val="0026362E"/>
    <w:rsid w:val="003C000C"/>
    <w:rsid w:val="003C3C64"/>
    <w:rsid w:val="003C4C66"/>
    <w:rsid w:val="003F028B"/>
    <w:rsid w:val="004506D4"/>
    <w:rsid w:val="0046021E"/>
    <w:rsid w:val="0047038B"/>
    <w:rsid w:val="00553ACE"/>
    <w:rsid w:val="0055723A"/>
    <w:rsid w:val="005F0909"/>
    <w:rsid w:val="00656BE9"/>
    <w:rsid w:val="00663E31"/>
    <w:rsid w:val="006C5D76"/>
    <w:rsid w:val="006E16A6"/>
    <w:rsid w:val="007A01F8"/>
    <w:rsid w:val="007A48A8"/>
    <w:rsid w:val="007C7A33"/>
    <w:rsid w:val="00891856"/>
    <w:rsid w:val="00927674"/>
    <w:rsid w:val="00943793"/>
    <w:rsid w:val="00A220F4"/>
    <w:rsid w:val="00A254EF"/>
    <w:rsid w:val="00A41D08"/>
    <w:rsid w:val="00A5529A"/>
    <w:rsid w:val="00A55DFC"/>
    <w:rsid w:val="00A666F6"/>
    <w:rsid w:val="00AA455A"/>
    <w:rsid w:val="00AD237F"/>
    <w:rsid w:val="00AF4D9A"/>
    <w:rsid w:val="00AF67CA"/>
    <w:rsid w:val="00B76606"/>
    <w:rsid w:val="00BA679B"/>
    <w:rsid w:val="00C216D5"/>
    <w:rsid w:val="00C603F8"/>
    <w:rsid w:val="00E57ED9"/>
    <w:rsid w:val="00E6325E"/>
    <w:rsid w:val="00E80249"/>
    <w:rsid w:val="00EC63F5"/>
    <w:rsid w:val="00ED7A8B"/>
    <w:rsid w:val="00F4027F"/>
    <w:rsid w:val="00FA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D4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C63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27674"/>
    <w:pPr>
      <w:keepNext/>
      <w:spacing w:line="360" w:lineRule="auto"/>
      <w:ind w:firstLine="0"/>
      <w:jc w:val="left"/>
      <w:outlineLvl w:val="2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3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76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7674"/>
    <w:pPr>
      <w:keepNext/>
      <w:spacing w:line="360" w:lineRule="auto"/>
      <w:ind w:firstLine="709"/>
      <w:outlineLvl w:val="6"/>
    </w:pPr>
    <w:rPr>
      <w:rFonts w:ascii="Arial" w:eastAsia="Times New Roman" w:hAnsi="Arial" w:cs="Arial"/>
      <w:b/>
      <w:bCs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66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BDBDBD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EC63F5"/>
    <w:pPr>
      <w:spacing w:line="276" w:lineRule="auto"/>
      <w:ind w:firstLine="0"/>
      <w:jc w:val="left"/>
      <w:outlineLvl w:val="9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C63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3F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C63F5"/>
    <w:pPr>
      <w:spacing w:after="100"/>
    </w:pPr>
  </w:style>
  <w:style w:type="character" w:styleId="a6">
    <w:name w:val="Hyperlink"/>
    <w:basedOn w:val="a0"/>
    <w:uiPriority w:val="99"/>
    <w:unhideWhenUsed/>
    <w:rsid w:val="00EC63F5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B76606"/>
    <w:pPr>
      <w:ind w:firstLine="0"/>
      <w:jc w:val="center"/>
    </w:pPr>
    <w:rPr>
      <w:rFonts w:ascii="Arial" w:eastAsia="Times New Roman" w:hAnsi="Arial" w:cs="Arial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B76606"/>
    <w:rPr>
      <w:rFonts w:ascii="Arial" w:eastAsia="Times New Roman" w:hAnsi="Arial" w:cs="Arial"/>
      <w:sz w:val="28"/>
      <w:szCs w:val="28"/>
    </w:rPr>
  </w:style>
  <w:style w:type="paragraph" w:styleId="a9">
    <w:name w:val="List Paragraph"/>
    <w:basedOn w:val="a"/>
    <w:uiPriority w:val="34"/>
    <w:qFormat/>
    <w:rsid w:val="00B76606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B766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76606"/>
    <w:rPr>
      <w:rFonts w:ascii="Times New Roman" w:hAnsi="Times New Roman"/>
      <w:sz w:val="28"/>
    </w:rPr>
  </w:style>
  <w:style w:type="paragraph" w:styleId="aa">
    <w:name w:val="header"/>
    <w:basedOn w:val="a"/>
    <w:link w:val="ab"/>
    <w:uiPriority w:val="99"/>
    <w:rsid w:val="00B76606"/>
    <w:pPr>
      <w:tabs>
        <w:tab w:val="center" w:pos="4153"/>
        <w:tab w:val="right" w:pos="8306"/>
      </w:tabs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B76606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B76606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76606"/>
    <w:rPr>
      <w:rFonts w:asciiTheme="majorHAnsi" w:eastAsiaTheme="majorEastAsia" w:hAnsiTheme="majorHAnsi" w:cstheme="majorBidi"/>
      <w:i/>
      <w:iCs/>
      <w:color w:val="BDBDBD" w:themeColor="text1" w:themeTint="BF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AD237F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31">
    <w:name w:val="Body Text 3"/>
    <w:basedOn w:val="a"/>
    <w:link w:val="32"/>
    <w:uiPriority w:val="99"/>
    <w:semiHidden/>
    <w:unhideWhenUsed/>
    <w:rsid w:val="00A5529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5529A"/>
    <w:rPr>
      <w:rFonts w:ascii="Times New Roman" w:hAnsi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552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5529A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uiPriority w:val="99"/>
    <w:semiHidden/>
    <w:unhideWhenUsed/>
    <w:rsid w:val="00A5529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5529A"/>
    <w:rPr>
      <w:rFonts w:ascii="Times New Roman" w:hAnsi="Times New Roman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927674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30">
    <w:name w:val="Заголовок 3 Знак"/>
    <w:basedOn w:val="a0"/>
    <w:link w:val="3"/>
    <w:uiPriority w:val="9"/>
    <w:rsid w:val="00927674"/>
    <w:rPr>
      <w:rFonts w:ascii="Arial" w:eastAsia="Times New Roman" w:hAnsi="Arial" w:cs="Arial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927674"/>
    <w:rPr>
      <w:rFonts w:ascii="Arial" w:eastAsia="Times New Roman" w:hAnsi="Arial" w:cs="Arial"/>
      <w:b/>
      <w:bCs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AF67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67CA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A8A8A8"/>
      </a:dk1>
      <a:lt1>
        <a:sysClr val="window" lastClr="1E1E1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0C01-6D30-4667-9DFA-529F7FB2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16</cp:revision>
  <dcterms:created xsi:type="dcterms:W3CDTF">2015-05-18T15:07:00Z</dcterms:created>
  <dcterms:modified xsi:type="dcterms:W3CDTF">2015-05-25T08:40:00Z</dcterms:modified>
</cp:coreProperties>
</file>